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31C3" w14:textId="77777777" w:rsidR="00A12503" w:rsidRDefault="00A12503" w:rsidP="00A12503">
      <w:pPr>
        <w:spacing w:after="0" w:line="360" w:lineRule="auto"/>
        <w:jc w:val="both"/>
        <w:rPr>
          <w:rFonts w:ascii="Nirmala UI" w:eastAsia="Times New Roman" w:hAnsi="Nirmala UI" w:cs="Nirmala UI"/>
          <w:color w:val="000000"/>
          <w:sz w:val="20"/>
          <w:szCs w:val="20"/>
          <w:lang w:eastAsia="it-IT"/>
        </w:rPr>
      </w:pPr>
    </w:p>
    <w:p w14:paraId="57DC5186" w14:textId="5D402154" w:rsidR="00A12503" w:rsidRPr="00A12503" w:rsidRDefault="00A12503" w:rsidP="00A12503">
      <w:pPr>
        <w:spacing w:after="0" w:line="360" w:lineRule="auto"/>
        <w:jc w:val="both"/>
        <w:rPr>
          <w:rFonts w:ascii="Nirmala UI" w:eastAsia="Times New Roman" w:hAnsi="Nirmala UI" w:cs="Nirmala UI"/>
          <w:b/>
          <w:bCs/>
          <w:color w:val="000000"/>
          <w:sz w:val="20"/>
          <w:szCs w:val="20"/>
          <w:lang w:eastAsia="it-IT"/>
        </w:rPr>
      </w:pPr>
      <w:r w:rsidRPr="00A12503">
        <w:rPr>
          <w:b/>
          <w:bCs/>
        </w:rPr>
        <w:t>Lavoro agile: quando mancano indirizzi, crescono le disuguaglianze</w:t>
      </w:r>
    </w:p>
    <w:p w14:paraId="73725681" w14:textId="5C08C78D"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Confintesa FP ha inviato in data odierna una nota formale all’Amministrazione per rappresentare le numerose criticità che stanno caratterizzando l’attuale gestione del lavoro agile all’interno dell’Agenzia delle Entrate, aggravate dalla proroga tecnica degli accordi disposta con atto del 19 gennaio 2026, che ha differito la scadenza al 31 marzo 2026.</w:t>
      </w:r>
    </w:p>
    <w:p w14:paraId="046D9325" w14:textId="77777777"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La proroga, motivata dalla necessità di attendere la definizione delle procedure per il conferimento dei nuovi incarichi di responsabilità (POER), interviene in un contesto già segnato da forti disomogeneità applicative, incertezza organizzativa e indicazioni difformi tra strutture territoriali.</w:t>
      </w:r>
    </w:p>
    <w:p w14:paraId="7AB2A4B7" w14:textId="77777777"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Il lavoro agile, come delineato dalla regolamentazione del 2023, dalle istruzioni operative e dal PIAO 2025–2027, dovrebbe fondarsi su un bilanciamento consapevole tra esigenze organizzative e conciliazione dei tempi di vita e di lavoro, attraverso la centralità dell’accordo individuale e la valutazione delle attività svolte.</w:t>
      </w:r>
      <w:r w:rsidRPr="00A12503">
        <w:rPr>
          <w:rFonts w:ascii="Nirmala UI" w:eastAsia="Times New Roman" w:hAnsi="Nirmala UI" w:cs="Nirmala UI"/>
          <w:color w:val="000000"/>
          <w:sz w:val="20"/>
          <w:szCs w:val="20"/>
          <w:lang w:eastAsia="it-IT"/>
        </w:rPr>
        <w:br/>
        <w:t>Un impianto che, pur costituendo una base di riferimento, avrebbe richiesto da tempo un confronto strutturato per essere migliorato, reso più coerente e più stabile.</w:t>
      </w:r>
    </w:p>
    <w:p w14:paraId="3265FC1D" w14:textId="77777777"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Confintesa FP ha più volte sollecitato la riapertura di un tavolo di confronto sul lavoro agile, non per metterne in discussione l’esistenza, ma per governarne l’evoluzione, superando rigidità e incoerenze che oggi ricadono direttamente sulle lavoratrici e sui lavoratori.</w:t>
      </w:r>
    </w:p>
    <w:p w14:paraId="0D85B34A" w14:textId="77777777"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Nella pratica, si è invece affermato un quadro caratterizzato da:</w:t>
      </w:r>
    </w:p>
    <w:p w14:paraId="5D3BCDB0" w14:textId="77777777" w:rsidR="00A12503" w:rsidRPr="00A12503" w:rsidRDefault="00A12503" w:rsidP="00A12503">
      <w:pPr>
        <w:numPr>
          <w:ilvl w:val="0"/>
          <w:numId w:val="11"/>
        </w:num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interpretazioni territoriali difformi;</w:t>
      </w:r>
    </w:p>
    <w:p w14:paraId="5A4EAE6E" w14:textId="77777777" w:rsidR="00A12503" w:rsidRPr="00A12503" w:rsidRDefault="00A12503" w:rsidP="00A12503">
      <w:pPr>
        <w:numPr>
          <w:ilvl w:val="0"/>
          <w:numId w:val="11"/>
        </w:num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limitazioni generalizzate non previste dagli atti ufficiali (giorni vietati, divieti di giornate consecutive, fasce di contattabilità applicate in modo automatico);</w:t>
      </w:r>
    </w:p>
    <w:p w14:paraId="17869578" w14:textId="77777777" w:rsidR="00A12503" w:rsidRPr="00A12503" w:rsidRDefault="00A12503" w:rsidP="00A12503">
      <w:pPr>
        <w:numPr>
          <w:ilvl w:val="0"/>
          <w:numId w:val="11"/>
        </w:num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un utilizzo del lavoro agile sempre meno legato alle attività e sempre più condizionato da scelte organizzative poco leggibili.</w:t>
      </w:r>
    </w:p>
    <w:p w14:paraId="7E860934" w14:textId="77777777" w:rsid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La proroga del 19 gennaio non chiarisce questo scenario.</w:t>
      </w:r>
    </w:p>
    <w:p w14:paraId="2120D877" w14:textId="771C19C1"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Pur comprendendo l’esigenza di attendere il completamento delle procedure POER, Confintesa FP ha evidenziato come il presidio organizzativo e le scelte di indirizzo restino comunque in capo alla dirigenza delle strutture. Le POER subentranti opereranno infatti su indirizzi già definiti, motivo per cui la proroga non può giustificare il congelamento delle decisioni né la frammentazione delle prassi applicative.</w:t>
      </w:r>
    </w:p>
    <w:p w14:paraId="041D05BB" w14:textId="77777777"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Particolarmente critici risultano gli effetti della proroga su due ambiti sensibili.</w:t>
      </w:r>
    </w:p>
    <w:p w14:paraId="687188C2" w14:textId="77777777"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In primo luogo, gli accordi di lavoro agile in deroga, spesso legati a situazioni personali e familiari complesse, che in molte realtà non sono stati prorogati, costringendo il personale interessato a ridefinire accordi delicati in tempi estremamente ristretti. Proprio tali accordi, per loro natura, avrebbero invece richiesto maggiore stabilità e tutela.</w:t>
      </w:r>
    </w:p>
    <w:p w14:paraId="669872A9" w14:textId="77777777"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lastRenderedPageBreak/>
        <w:t>In secondo luogo, la situazione del personale neoassunto. In fase di avvio del rapporto di lavoro, in molte strutture è stato riconosciuto un solo giorno settimanale di lavoro agile, definito in modo standardizzato. A seguito della proroga, tale assetto continua a permanere in numerose realtà territoriali, con l’effetto concreto di rinviare di ulteriori due mesi qualsiasi valutazione più aderente alle previsioni regolamentari e alle reali condizioni organizzative. Una gestione che appare difficilmente coerente con i principi dichiarati dall’Amministrazione.</w:t>
      </w:r>
    </w:p>
    <w:p w14:paraId="0173A4BA" w14:textId="77777777"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Nel complesso, Confintesa FP rileva come l’Amministrazione disponga di un impianto normativo e programmatorio formalmente coerente, ma fatichi a tradurlo in indirizzi applicativi chiari, stabili e uniformi, lasciando spazio a soluzioni temporanee e interpretazioni locali.</w:t>
      </w:r>
    </w:p>
    <w:p w14:paraId="4C831331" w14:textId="77777777"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Con la nota inviata, Confintesa FP ha richiesto:</w:t>
      </w:r>
    </w:p>
    <w:p w14:paraId="5B840B4D" w14:textId="77777777" w:rsidR="00A12503" w:rsidRPr="00A12503" w:rsidRDefault="00A12503" w:rsidP="00A12503">
      <w:pPr>
        <w:numPr>
          <w:ilvl w:val="0"/>
          <w:numId w:val="12"/>
        </w:num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un chiarimento immediato sugli indirizzi applicativi del lavoro agile;</w:t>
      </w:r>
    </w:p>
    <w:p w14:paraId="73B27FBB" w14:textId="77777777" w:rsidR="00A12503" w:rsidRPr="00A12503" w:rsidRDefault="00A12503" w:rsidP="00A12503">
      <w:pPr>
        <w:numPr>
          <w:ilvl w:val="0"/>
          <w:numId w:val="12"/>
        </w:num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il superamento di limitazioni generalizzate non previste dagli atti vigenti;</w:t>
      </w:r>
    </w:p>
    <w:p w14:paraId="21DB2551" w14:textId="77777777" w:rsidR="00A12503" w:rsidRPr="00A12503" w:rsidRDefault="00A12503" w:rsidP="00A12503">
      <w:pPr>
        <w:numPr>
          <w:ilvl w:val="0"/>
          <w:numId w:val="12"/>
        </w:num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l’avvio di un confronto ampio ed evolutivo sull’istituto, finalizzato a migliorarne la disciplina e a renderla realmente sostenibile nel tempo.</w:t>
      </w:r>
    </w:p>
    <w:p w14:paraId="6F335BFB" w14:textId="77777777" w:rsidR="00A12503" w:rsidRPr="00A12503" w:rsidRDefault="00A12503" w:rsidP="00A12503">
      <w:pPr>
        <w:spacing w:after="0" w:line="360" w:lineRule="auto"/>
        <w:jc w:val="both"/>
        <w:rPr>
          <w:rFonts w:ascii="Nirmala UI" w:eastAsia="Times New Roman" w:hAnsi="Nirmala UI" w:cs="Nirmala UI"/>
          <w:color w:val="000000"/>
          <w:sz w:val="20"/>
          <w:szCs w:val="20"/>
          <w:lang w:eastAsia="it-IT"/>
        </w:rPr>
      </w:pPr>
      <w:r w:rsidRPr="00A12503">
        <w:rPr>
          <w:rFonts w:ascii="Nirmala UI" w:eastAsia="Times New Roman" w:hAnsi="Nirmala UI" w:cs="Nirmala UI"/>
          <w:color w:val="000000"/>
          <w:sz w:val="20"/>
          <w:szCs w:val="20"/>
          <w:lang w:eastAsia="it-IT"/>
        </w:rPr>
        <w:t>Confintesa FP continuerà a seguire la vicenda e a informare il personale sugli sviluppi, ribadendo la propria disponibilità a un confronto serio e costruttivo, nella convinzione che il lavoro agile debba essere governato con responsabilità, coerenza e rispetto delle persone.</w:t>
      </w:r>
    </w:p>
    <w:p w14:paraId="3ED12229" w14:textId="4B796562" w:rsidR="0036418D" w:rsidRPr="00A12503" w:rsidRDefault="0036418D" w:rsidP="00A12503">
      <w:pPr>
        <w:spacing w:after="0" w:line="360" w:lineRule="auto"/>
        <w:jc w:val="both"/>
      </w:pPr>
    </w:p>
    <w:sectPr w:rsidR="0036418D" w:rsidRPr="00A12503" w:rsidSect="0036418D">
      <w:headerReference w:type="default" r:id="rId8"/>
      <w:footerReference w:type="default" r:id="rId9"/>
      <w:pgSz w:w="11906" w:h="16838"/>
      <w:pgMar w:top="2543" w:right="1133" w:bottom="1134" w:left="993"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BA4B9" w14:textId="77777777" w:rsidR="00492C64" w:rsidRDefault="00492C64" w:rsidP="00D85838">
      <w:pPr>
        <w:spacing w:after="0" w:line="240" w:lineRule="auto"/>
      </w:pPr>
      <w:r>
        <w:separator/>
      </w:r>
    </w:p>
  </w:endnote>
  <w:endnote w:type="continuationSeparator" w:id="0">
    <w:p w14:paraId="61998CDA" w14:textId="77777777" w:rsidR="00492C64" w:rsidRDefault="00492C64" w:rsidP="00D8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irmala UI">
    <w:altName w:val="Iskoola Pota"/>
    <w:panose1 w:val="020B0502040204020203"/>
    <w:charset w:val="00"/>
    <w:family w:val="swiss"/>
    <w:pitch w:val="variable"/>
    <w:sig w:usb0="80FF8023" w:usb1="0200004A" w:usb2="000002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516353"/>
      <w:docPartObj>
        <w:docPartGallery w:val="Page Numbers (Bottom of Page)"/>
        <w:docPartUnique/>
      </w:docPartObj>
    </w:sdtPr>
    <w:sdtContent>
      <w:p w14:paraId="1DF16019" w14:textId="3DB08C80" w:rsidR="000233B0" w:rsidRDefault="000233B0">
        <w:pPr>
          <w:pStyle w:val="Pidipagina"/>
          <w:jc w:val="center"/>
        </w:pPr>
        <w:r>
          <w:fldChar w:fldCharType="begin"/>
        </w:r>
        <w:r>
          <w:instrText>PAGE   \* MERGEFORMAT</w:instrText>
        </w:r>
        <w:r>
          <w:fldChar w:fldCharType="separate"/>
        </w:r>
        <w:r>
          <w:t>2</w:t>
        </w:r>
        <w:r>
          <w:fldChar w:fldCharType="end"/>
        </w:r>
      </w:p>
    </w:sdtContent>
  </w:sdt>
  <w:p w14:paraId="7018ABFC" w14:textId="746D3E06" w:rsidR="00E57CF4" w:rsidRDefault="00E57CF4" w:rsidP="00E57CF4">
    <w:pPr>
      <w:pStyle w:val="Pidipagina"/>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2C48F" w14:textId="77777777" w:rsidR="00492C64" w:rsidRDefault="00492C64" w:rsidP="00D85838">
      <w:pPr>
        <w:spacing w:after="0" w:line="240" w:lineRule="auto"/>
      </w:pPr>
      <w:r>
        <w:separator/>
      </w:r>
    </w:p>
  </w:footnote>
  <w:footnote w:type="continuationSeparator" w:id="0">
    <w:p w14:paraId="2C7EE738" w14:textId="77777777" w:rsidR="00492C64" w:rsidRDefault="00492C64" w:rsidP="00D85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268FB" w14:textId="52203CAA" w:rsidR="007507DB" w:rsidRDefault="009E3BEE" w:rsidP="00763DF1">
    <w:pPr>
      <w:pStyle w:val="Intestazione"/>
      <w:ind w:left="-851" w:right="-426"/>
    </w:pPr>
    <w:r>
      <w:rPr>
        <w:lang w:eastAsia="it-IT"/>
      </w:rPr>
      <w:drawing>
        <wp:inline distT="0" distB="0" distL="0" distR="0" wp14:anchorId="39C41628" wp14:editId="0FCAA371">
          <wp:extent cx="7478372" cy="1314450"/>
          <wp:effectExtent l="0" t="0" r="8890" b="0"/>
          <wp:docPr id="10114604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rdinamento Entrate (2).png"/>
                  <pic:cNvPicPr/>
                </pic:nvPicPr>
                <pic:blipFill>
                  <a:blip r:embed="rId1">
                    <a:extLst>
                      <a:ext uri="{28A0092B-C50C-407E-A947-70E740481C1C}">
                        <a14:useLocalDpi xmlns:a14="http://schemas.microsoft.com/office/drawing/2010/main" val="0"/>
                      </a:ext>
                    </a:extLst>
                  </a:blip>
                  <a:stretch>
                    <a:fillRect/>
                  </a:stretch>
                </pic:blipFill>
                <pic:spPr>
                  <a:xfrm>
                    <a:off x="0" y="0"/>
                    <a:ext cx="7478372" cy="1314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86AF8"/>
    <w:multiLevelType w:val="hybridMultilevel"/>
    <w:tmpl w:val="69FE8EDA"/>
    <w:lvl w:ilvl="0" w:tplc="04100001">
      <w:start w:val="1"/>
      <w:numFmt w:val="bullet"/>
      <w:lvlText w:val=""/>
      <w:lvlJc w:val="left"/>
      <w:pPr>
        <w:ind w:left="1287" w:hanging="360"/>
      </w:pPr>
      <w:rPr>
        <w:rFonts w:ascii="Symbol" w:hAnsi="Symbol" w:hint="default"/>
      </w:rPr>
    </w:lvl>
    <w:lvl w:ilvl="1" w:tplc="CF9AC0AE">
      <w:numFmt w:val="bullet"/>
      <w:lvlText w:val="–"/>
      <w:lvlJc w:val="left"/>
      <w:pPr>
        <w:ind w:left="2007" w:hanging="360"/>
      </w:pPr>
      <w:rPr>
        <w:rFonts w:ascii="Nirmala UI" w:eastAsia="Times New Roman" w:hAnsi="Nirmala UI" w:cs="Nirmala UI"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cs="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cs="Courier New" w:hint="default"/>
      </w:rPr>
    </w:lvl>
    <w:lvl w:ilvl="8" w:tplc="04100005">
      <w:start w:val="1"/>
      <w:numFmt w:val="bullet"/>
      <w:lvlText w:val=""/>
      <w:lvlJc w:val="left"/>
      <w:pPr>
        <w:ind w:left="7047" w:hanging="360"/>
      </w:pPr>
      <w:rPr>
        <w:rFonts w:ascii="Wingdings" w:hAnsi="Wingdings" w:hint="default"/>
      </w:rPr>
    </w:lvl>
  </w:abstractNum>
  <w:abstractNum w:abstractNumId="1" w15:restartNumberingAfterBreak="0">
    <w:nsid w:val="2F521270"/>
    <w:multiLevelType w:val="hybridMultilevel"/>
    <w:tmpl w:val="73864AD8"/>
    <w:lvl w:ilvl="0" w:tplc="D09A24DC">
      <w:numFmt w:val="bullet"/>
      <w:lvlText w:val="–"/>
      <w:lvlJc w:val="left"/>
      <w:pPr>
        <w:ind w:left="1287" w:hanging="360"/>
      </w:pPr>
      <w:rPr>
        <w:rFonts w:ascii="Nirmala UI" w:eastAsia="Times New Roman" w:hAnsi="Nirmala UI" w:cs="Nirmala UI"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cs="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cs="Courier New" w:hint="default"/>
      </w:rPr>
    </w:lvl>
    <w:lvl w:ilvl="8" w:tplc="04100005">
      <w:start w:val="1"/>
      <w:numFmt w:val="bullet"/>
      <w:lvlText w:val=""/>
      <w:lvlJc w:val="left"/>
      <w:pPr>
        <w:ind w:left="7047" w:hanging="360"/>
      </w:pPr>
      <w:rPr>
        <w:rFonts w:ascii="Wingdings" w:hAnsi="Wingdings" w:hint="default"/>
      </w:rPr>
    </w:lvl>
  </w:abstractNum>
  <w:abstractNum w:abstractNumId="2" w15:restartNumberingAfterBreak="0">
    <w:nsid w:val="54686F8F"/>
    <w:multiLevelType w:val="multilevel"/>
    <w:tmpl w:val="0EEE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DD7841"/>
    <w:multiLevelType w:val="multilevel"/>
    <w:tmpl w:val="3592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66343D"/>
    <w:multiLevelType w:val="hybridMultilevel"/>
    <w:tmpl w:val="AFE6AC68"/>
    <w:lvl w:ilvl="0" w:tplc="04100001">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cs="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cs="Courier New" w:hint="default"/>
      </w:rPr>
    </w:lvl>
    <w:lvl w:ilvl="8" w:tplc="04100005">
      <w:start w:val="1"/>
      <w:numFmt w:val="bullet"/>
      <w:lvlText w:val=""/>
      <w:lvlJc w:val="left"/>
      <w:pPr>
        <w:ind w:left="7047" w:hanging="360"/>
      </w:pPr>
      <w:rPr>
        <w:rFonts w:ascii="Wingdings" w:hAnsi="Wingdings" w:hint="default"/>
      </w:rPr>
    </w:lvl>
  </w:abstractNum>
  <w:abstractNum w:abstractNumId="5" w15:restartNumberingAfterBreak="0">
    <w:nsid w:val="5E970628"/>
    <w:multiLevelType w:val="multilevel"/>
    <w:tmpl w:val="D1BA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586B2A"/>
    <w:multiLevelType w:val="multilevel"/>
    <w:tmpl w:val="CCBA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C05545"/>
    <w:multiLevelType w:val="multilevel"/>
    <w:tmpl w:val="F658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3E4BAC"/>
    <w:multiLevelType w:val="multilevel"/>
    <w:tmpl w:val="9CC8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595831"/>
    <w:multiLevelType w:val="multilevel"/>
    <w:tmpl w:val="327A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92773A"/>
    <w:multiLevelType w:val="hybridMultilevel"/>
    <w:tmpl w:val="2AFA42A6"/>
    <w:lvl w:ilvl="0" w:tplc="81F286DC">
      <w:start w:val="1"/>
      <w:numFmt w:val="decimal"/>
      <w:lvlText w:val="%1."/>
      <w:lvlJc w:val="left"/>
      <w:pPr>
        <w:ind w:left="927" w:hanging="360"/>
      </w:pPr>
    </w:lvl>
    <w:lvl w:ilvl="1" w:tplc="04100019">
      <w:start w:val="1"/>
      <w:numFmt w:val="lowerLetter"/>
      <w:lvlText w:val="%2."/>
      <w:lvlJc w:val="left"/>
      <w:pPr>
        <w:ind w:left="1647" w:hanging="360"/>
      </w:pPr>
    </w:lvl>
    <w:lvl w:ilvl="2" w:tplc="0410001B">
      <w:start w:val="1"/>
      <w:numFmt w:val="lowerRoman"/>
      <w:lvlText w:val="%3."/>
      <w:lvlJc w:val="right"/>
      <w:pPr>
        <w:ind w:left="2367" w:hanging="180"/>
      </w:pPr>
    </w:lvl>
    <w:lvl w:ilvl="3" w:tplc="0410000F">
      <w:start w:val="1"/>
      <w:numFmt w:val="decimal"/>
      <w:lvlText w:val="%4."/>
      <w:lvlJc w:val="left"/>
      <w:pPr>
        <w:ind w:left="3087" w:hanging="360"/>
      </w:pPr>
    </w:lvl>
    <w:lvl w:ilvl="4" w:tplc="04100019">
      <w:start w:val="1"/>
      <w:numFmt w:val="lowerLetter"/>
      <w:lvlText w:val="%5."/>
      <w:lvlJc w:val="left"/>
      <w:pPr>
        <w:ind w:left="3807" w:hanging="360"/>
      </w:pPr>
    </w:lvl>
    <w:lvl w:ilvl="5" w:tplc="0410001B">
      <w:start w:val="1"/>
      <w:numFmt w:val="lowerRoman"/>
      <w:lvlText w:val="%6."/>
      <w:lvlJc w:val="right"/>
      <w:pPr>
        <w:ind w:left="4527" w:hanging="180"/>
      </w:pPr>
    </w:lvl>
    <w:lvl w:ilvl="6" w:tplc="0410000F">
      <w:start w:val="1"/>
      <w:numFmt w:val="decimal"/>
      <w:lvlText w:val="%7."/>
      <w:lvlJc w:val="left"/>
      <w:pPr>
        <w:ind w:left="5247" w:hanging="360"/>
      </w:pPr>
    </w:lvl>
    <w:lvl w:ilvl="7" w:tplc="04100019">
      <w:start w:val="1"/>
      <w:numFmt w:val="lowerLetter"/>
      <w:lvlText w:val="%8."/>
      <w:lvlJc w:val="left"/>
      <w:pPr>
        <w:ind w:left="5967" w:hanging="360"/>
      </w:pPr>
    </w:lvl>
    <w:lvl w:ilvl="8" w:tplc="0410001B">
      <w:start w:val="1"/>
      <w:numFmt w:val="lowerRoman"/>
      <w:lvlText w:val="%9."/>
      <w:lvlJc w:val="right"/>
      <w:pPr>
        <w:ind w:left="6687" w:hanging="180"/>
      </w:pPr>
    </w:lvl>
  </w:abstractNum>
  <w:abstractNum w:abstractNumId="11" w15:restartNumberingAfterBreak="0">
    <w:nsid w:val="78AE0F91"/>
    <w:multiLevelType w:val="multilevel"/>
    <w:tmpl w:val="E2BA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2302259">
    <w:abstractNumId w:val="1"/>
  </w:num>
  <w:num w:numId="2" w16cid:durableId="15701876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2558057">
    <w:abstractNumId w:val="0"/>
  </w:num>
  <w:num w:numId="4" w16cid:durableId="283846842">
    <w:abstractNumId w:val="4"/>
  </w:num>
  <w:num w:numId="5" w16cid:durableId="1542278154">
    <w:abstractNumId w:val="8"/>
  </w:num>
  <w:num w:numId="6" w16cid:durableId="2054226198">
    <w:abstractNumId w:val="6"/>
  </w:num>
  <w:num w:numId="7" w16cid:durableId="74547053">
    <w:abstractNumId w:val="5"/>
  </w:num>
  <w:num w:numId="8" w16cid:durableId="1378775046">
    <w:abstractNumId w:val="7"/>
  </w:num>
  <w:num w:numId="9" w16cid:durableId="1674143509">
    <w:abstractNumId w:val="2"/>
  </w:num>
  <w:num w:numId="10" w16cid:durableId="2018195591">
    <w:abstractNumId w:val="9"/>
  </w:num>
  <w:num w:numId="11" w16cid:durableId="1132404025">
    <w:abstractNumId w:val="11"/>
  </w:num>
  <w:num w:numId="12" w16cid:durableId="2146583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36B"/>
    <w:rsid w:val="00016263"/>
    <w:rsid w:val="000166BB"/>
    <w:rsid w:val="0001727E"/>
    <w:rsid w:val="000233B0"/>
    <w:rsid w:val="000237CC"/>
    <w:rsid w:val="000267D0"/>
    <w:rsid w:val="00064D5A"/>
    <w:rsid w:val="00090EDC"/>
    <w:rsid w:val="000A20F3"/>
    <w:rsid w:val="000A5F24"/>
    <w:rsid w:val="000A7BDD"/>
    <w:rsid w:val="000C610A"/>
    <w:rsid w:val="000D028A"/>
    <w:rsid w:val="000D1E34"/>
    <w:rsid w:val="00104E9D"/>
    <w:rsid w:val="001055CB"/>
    <w:rsid w:val="00112AC7"/>
    <w:rsid w:val="00134C72"/>
    <w:rsid w:val="001413A3"/>
    <w:rsid w:val="001456E8"/>
    <w:rsid w:val="00156207"/>
    <w:rsid w:val="001656D8"/>
    <w:rsid w:val="00170994"/>
    <w:rsid w:val="00170E04"/>
    <w:rsid w:val="00172614"/>
    <w:rsid w:val="001762C2"/>
    <w:rsid w:val="00192BFA"/>
    <w:rsid w:val="001B285D"/>
    <w:rsid w:val="001B4A57"/>
    <w:rsid w:val="001C2799"/>
    <w:rsid w:val="001D4506"/>
    <w:rsid w:val="001E6A4A"/>
    <w:rsid w:val="001F1EF4"/>
    <w:rsid w:val="001F6D25"/>
    <w:rsid w:val="002006ED"/>
    <w:rsid w:val="002032D6"/>
    <w:rsid w:val="00204D2A"/>
    <w:rsid w:val="00221F5B"/>
    <w:rsid w:val="00223AD9"/>
    <w:rsid w:val="00230A33"/>
    <w:rsid w:val="00230B77"/>
    <w:rsid w:val="00235860"/>
    <w:rsid w:val="0024771D"/>
    <w:rsid w:val="002611A1"/>
    <w:rsid w:val="002640D9"/>
    <w:rsid w:val="00296305"/>
    <w:rsid w:val="002A5109"/>
    <w:rsid w:val="002A586D"/>
    <w:rsid w:val="002C7190"/>
    <w:rsid w:val="002E18FF"/>
    <w:rsid w:val="002F52C1"/>
    <w:rsid w:val="002F6828"/>
    <w:rsid w:val="00332B20"/>
    <w:rsid w:val="00335365"/>
    <w:rsid w:val="00347C5D"/>
    <w:rsid w:val="003560D7"/>
    <w:rsid w:val="00357CE6"/>
    <w:rsid w:val="0036418D"/>
    <w:rsid w:val="003850DD"/>
    <w:rsid w:val="003916EA"/>
    <w:rsid w:val="003A01B2"/>
    <w:rsid w:val="003A24E1"/>
    <w:rsid w:val="003A58A6"/>
    <w:rsid w:val="003A629D"/>
    <w:rsid w:val="003B2F15"/>
    <w:rsid w:val="003C5140"/>
    <w:rsid w:val="003E46E1"/>
    <w:rsid w:val="003E53E3"/>
    <w:rsid w:val="003E636B"/>
    <w:rsid w:val="003E7055"/>
    <w:rsid w:val="003F1DFE"/>
    <w:rsid w:val="00400BC8"/>
    <w:rsid w:val="00422513"/>
    <w:rsid w:val="004250AF"/>
    <w:rsid w:val="00442564"/>
    <w:rsid w:val="004453D0"/>
    <w:rsid w:val="00453967"/>
    <w:rsid w:val="00467B4C"/>
    <w:rsid w:val="0047273B"/>
    <w:rsid w:val="004832B5"/>
    <w:rsid w:val="00492C64"/>
    <w:rsid w:val="00493E32"/>
    <w:rsid w:val="004B405B"/>
    <w:rsid w:val="004D3C9C"/>
    <w:rsid w:val="004D5758"/>
    <w:rsid w:val="004E2B3F"/>
    <w:rsid w:val="004F481B"/>
    <w:rsid w:val="004F50C0"/>
    <w:rsid w:val="004F5F00"/>
    <w:rsid w:val="00503B2E"/>
    <w:rsid w:val="00520A53"/>
    <w:rsid w:val="00526FCA"/>
    <w:rsid w:val="00530BB0"/>
    <w:rsid w:val="0053323F"/>
    <w:rsid w:val="005523EB"/>
    <w:rsid w:val="00553159"/>
    <w:rsid w:val="00585F71"/>
    <w:rsid w:val="00587EC8"/>
    <w:rsid w:val="00590D21"/>
    <w:rsid w:val="00593DC0"/>
    <w:rsid w:val="005A0D4C"/>
    <w:rsid w:val="005A456C"/>
    <w:rsid w:val="005B00D8"/>
    <w:rsid w:val="005B2676"/>
    <w:rsid w:val="005B4244"/>
    <w:rsid w:val="005C3CB7"/>
    <w:rsid w:val="005D666B"/>
    <w:rsid w:val="005D6D62"/>
    <w:rsid w:val="005D7120"/>
    <w:rsid w:val="005E650A"/>
    <w:rsid w:val="005F1FC3"/>
    <w:rsid w:val="00613CE0"/>
    <w:rsid w:val="006356C5"/>
    <w:rsid w:val="00646A19"/>
    <w:rsid w:val="006477AD"/>
    <w:rsid w:val="00653A51"/>
    <w:rsid w:val="0065421F"/>
    <w:rsid w:val="00667A56"/>
    <w:rsid w:val="006806DC"/>
    <w:rsid w:val="0068514D"/>
    <w:rsid w:val="006B1C3E"/>
    <w:rsid w:val="006D4D51"/>
    <w:rsid w:val="006D6F9B"/>
    <w:rsid w:val="006E5F74"/>
    <w:rsid w:val="00701F01"/>
    <w:rsid w:val="00717852"/>
    <w:rsid w:val="00723431"/>
    <w:rsid w:val="00727A4D"/>
    <w:rsid w:val="00732449"/>
    <w:rsid w:val="00735F7E"/>
    <w:rsid w:val="00737722"/>
    <w:rsid w:val="00740A63"/>
    <w:rsid w:val="00742A83"/>
    <w:rsid w:val="007449B6"/>
    <w:rsid w:val="007507DB"/>
    <w:rsid w:val="00761BF9"/>
    <w:rsid w:val="00763DF1"/>
    <w:rsid w:val="007652DA"/>
    <w:rsid w:val="007B6EE8"/>
    <w:rsid w:val="007D7782"/>
    <w:rsid w:val="007E321E"/>
    <w:rsid w:val="007E43E9"/>
    <w:rsid w:val="007E5B5C"/>
    <w:rsid w:val="00800AF2"/>
    <w:rsid w:val="00803E97"/>
    <w:rsid w:val="00804FB4"/>
    <w:rsid w:val="00820307"/>
    <w:rsid w:val="0082133A"/>
    <w:rsid w:val="00837399"/>
    <w:rsid w:val="00840686"/>
    <w:rsid w:val="008520F5"/>
    <w:rsid w:val="0085317B"/>
    <w:rsid w:val="00855BA9"/>
    <w:rsid w:val="00860FFA"/>
    <w:rsid w:val="0086256B"/>
    <w:rsid w:val="00877AA4"/>
    <w:rsid w:val="008843CD"/>
    <w:rsid w:val="008A30D5"/>
    <w:rsid w:val="008B389D"/>
    <w:rsid w:val="008C7AF8"/>
    <w:rsid w:val="008D2F64"/>
    <w:rsid w:val="008D2FFB"/>
    <w:rsid w:val="008D3FAD"/>
    <w:rsid w:val="008E2E2D"/>
    <w:rsid w:val="008F2D3E"/>
    <w:rsid w:val="00901ADC"/>
    <w:rsid w:val="00912C43"/>
    <w:rsid w:val="00914153"/>
    <w:rsid w:val="00920C30"/>
    <w:rsid w:val="0094444D"/>
    <w:rsid w:val="0095604C"/>
    <w:rsid w:val="0095607A"/>
    <w:rsid w:val="009568E8"/>
    <w:rsid w:val="00957FA2"/>
    <w:rsid w:val="00971E74"/>
    <w:rsid w:val="00985193"/>
    <w:rsid w:val="009A4605"/>
    <w:rsid w:val="009A67BC"/>
    <w:rsid w:val="009A6BC2"/>
    <w:rsid w:val="009C0483"/>
    <w:rsid w:val="009C2DE8"/>
    <w:rsid w:val="009C5F71"/>
    <w:rsid w:val="009E3BEE"/>
    <w:rsid w:val="009E67F2"/>
    <w:rsid w:val="00A12503"/>
    <w:rsid w:val="00A1547A"/>
    <w:rsid w:val="00A3725C"/>
    <w:rsid w:val="00A555C0"/>
    <w:rsid w:val="00A608E2"/>
    <w:rsid w:val="00A617F8"/>
    <w:rsid w:val="00A71CE7"/>
    <w:rsid w:val="00A76C2E"/>
    <w:rsid w:val="00A80BFE"/>
    <w:rsid w:val="00A82AB8"/>
    <w:rsid w:val="00AA570C"/>
    <w:rsid w:val="00AA7BCA"/>
    <w:rsid w:val="00AB0834"/>
    <w:rsid w:val="00AB0D0F"/>
    <w:rsid w:val="00AB112B"/>
    <w:rsid w:val="00AE2505"/>
    <w:rsid w:val="00AE4368"/>
    <w:rsid w:val="00AE74B4"/>
    <w:rsid w:val="00AF3E58"/>
    <w:rsid w:val="00B05D14"/>
    <w:rsid w:val="00B06628"/>
    <w:rsid w:val="00B06874"/>
    <w:rsid w:val="00B229B2"/>
    <w:rsid w:val="00B27109"/>
    <w:rsid w:val="00B27742"/>
    <w:rsid w:val="00B34DEF"/>
    <w:rsid w:val="00B377F1"/>
    <w:rsid w:val="00B44078"/>
    <w:rsid w:val="00B6436B"/>
    <w:rsid w:val="00B67490"/>
    <w:rsid w:val="00B80535"/>
    <w:rsid w:val="00B86768"/>
    <w:rsid w:val="00B91759"/>
    <w:rsid w:val="00B93BB9"/>
    <w:rsid w:val="00BA0C1A"/>
    <w:rsid w:val="00BB16C2"/>
    <w:rsid w:val="00BB2F34"/>
    <w:rsid w:val="00BB7C09"/>
    <w:rsid w:val="00BD4A7A"/>
    <w:rsid w:val="00BF2106"/>
    <w:rsid w:val="00C13BC1"/>
    <w:rsid w:val="00C21A06"/>
    <w:rsid w:val="00C30369"/>
    <w:rsid w:val="00C314A3"/>
    <w:rsid w:val="00C369CC"/>
    <w:rsid w:val="00C45C63"/>
    <w:rsid w:val="00C61256"/>
    <w:rsid w:val="00C65E75"/>
    <w:rsid w:val="00C827A6"/>
    <w:rsid w:val="00C82E50"/>
    <w:rsid w:val="00C87C08"/>
    <w:rsid w:val="00CB07F1"/>
    <w:rsid w:val="00CB1885"/>
    <w:rsid w:val="00CB488D"/>
    <w:rsid w:val="00CC595A"/>
    <w:rsid w:val="00CD45FA"/>
    <w:rsid w:val="00CD4A4C"/>
    <w:rsid w:val="00CE7FE9"/>
    <w:rsid w:val="00CF13CE"/>
    <w:rsid w:val="00CF24A9"/>
    <w:rsid w:val="00CF5D2E"/>
    <w:rsid w:val="00CF7F56"/>
    <w:rsid w:val="00D03122"/>
    <w:rsid w:val="00D11F2C"/>
    <w:rsid w:val="00D12200"/>
    <w:rsid w:val="00D17998"/>
    <w:rsid w:val="00D21E72"/>
    <w:rsid w:val="00D248AB"/>
    <w:rsid w:val="00D2774B"/>
    <w:rsid w:val="00D36EC0"/>
    <w:rsid w:val="00D51064"/>
    <w:rsid w:val="00D52E93"/>
    <w:rsid w:val="00D60A72"/>
    <w:rsid w:val="00D6272B"/>
    <w:rsid w:val="00D6447F"/>
    <w:rsid w:val="00D806F6"/>
    <w:rsid w:val="00D80C57"/>
    <w:rsid w:val="00D85838"/>
    <w:rsid w:val="00DA21E5"/>
    <w:rsid w:val="00DB0FBB"/>
    <w:rsid w:val="00DC211C"/>
    <w:rsid w:val="00DC6035"/>
    <w:rsid w:val="00DD560F"/>
    <w:rsid w:val="00DD56B4"/>
    <w:rsid w:val="00DD65D9"/>
    <w:rsid w:val="00DE08E8"/>
    <w:rsid w:val="00DE414A"/>
    <w:rsid w:val="00DE5CE6"/>
    <w:rsid w:val="00DF6970"/>
    <w:rsid w:val="00E05CD6"/>
    <w:rsid w:val="00E14A68"/>
    <w:rsid w:val="00E330EE"/>
    <w:rsid w:val="00E50AAA"/>
    <w:rsid w:val="00E57B85"/>
    <w:rsid w:val="00E57CF4"/>
    <w:rsid w:val="00E7214A"/>
    <w:rsid w:val="00E741CC"/>
    <w:rsid w:val="00E91408"/>
    <w:rsid w:val="00E969CD"/>
    <w:rsid w:val="00EA31C4"/>
    <w:rsid w:val="00EC11A3"/>
    <w:rsid w:val="00EC587E"/>
    <w:rsid w:val="00ED417D"/>
    <w:rsid w:val="00EF347F"/>
    <w:rsid w:val="00F03A6C"/>
    <w:rsid w:val="00F107B8"/>
    <w:rsid w:val="00F10A3D"/>
    <w:rsid w:val="00F1260F"/>
    <w:rsid w:val="00F14943"/>
    <w:rsid w:val="00F15B41"/>
    <w:rsid w:val="00F33D77"/>
    <w:rsid w:val="00F4620F"/>
    <w:rsid w:val="00F87C29"/>
    <w:rsid w:val="00FA16F9"/>
    <w:rsid w:val="00FA225D"/>
    <w:rsid w:val="00FC2235"/>
    <w:rsid w:val="00FC65C5"/>
    <w:rsid w:val="00FC65D0"/>
    <w:rsid w:val="00FD6DBF"/>
    <w:rsid w:val="00FE239B"/>
    <w:rsid w:val="00FE376B"/>
    <w:rsid w:val="00FF059B"/>
    <w:rsid w:val="00FF7F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7BFAB"/>
  <w15:docId w15:val="{5CD9698C-C541-40CA-A1C7-F5E82DD0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noProo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cedellefigure">
    <w:name w:val="table of figures"/>
    <w:basedOn w:val="Normale"/>
    <w:next w:val="Normale"/>
    <w:autoRedefine/>
    <w:uiPriority w:val="99"/>
    <w:unhideWhenUsed/>
    <w:qFormat/>
    <w:rsid w:val="00A608E2"/>
    <w:pPr>
      <w:spacing w:after="0" w:line="480" w:lineRule="auto"/>
      <w:ind w:left="440" w:hanging="440"/>
    </w:pPr>
    <w:rPr>
      <w:rFonts w:ascii="Nirmala UI" w:hAnsi="Nirmala UI" w:cstheme="minorHAnsi"/>
      <w:smallCaps/>
      <w:color w:val="002060"/>
      <w:szCs w:val="20"/>
    </w:rPr>
  </w:style>
  <w:style w:type="paragraph" w:styleId="Intestazione">
    <w:name w:val="header"/>
    <w:basedOn w:val="Normale"/>
    <w:link w:val="IntestazioneCarattere"/>
    <w:uiPriority w:val="99"/>
    <w:unhideWhenUsed/>
    <w:rsid w:val="00D858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5838"/>
    <w:rPr>
      <w:noProof/>
    </w:rPr>
  </w:style>
  <w:style w:type="paragraph" w:styleId="Pidipagina">
    <w:name w:val="footer"/>
    <w:basedOn w:val="Normale"/>
    <w:link w:val="PidipaginaCarattere"/>
    <w:uiPriority w:val="99"/>
    <w:unhideWhenUsed/>
    <w:rsid w:val="00D858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5838"/>
    <w:rPr>
      <w:noProof/>
    </w:rPr>
  </w:style>
  <w:style w:type="paragraph" w:styleId="Testofumetto">
    <w:name w:val="Balloon Text"/>
    <w:basedOn w:val="Normale"/>
    <w:link w:val="TestofumettoCarattere"/>
    <w:uiPriority w:val="99"/>
    <w:semiHidden/>
    <w:unhideWhenUsed/>
    <w:rsid w:val="001D45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06"/>
    <w:rPr>
      <w:rFonts w:ascii="Tahoma" w:hAnsi="Tahoma" w:cs="Tahoma"/>
      <w:noProof/>
      <w:sz w:val="16"/>
      <w:szCs w:val="16"/>
    </w:rPr>
  </w:style>
  <w:style w:type="character" w:styleId="Collegamentoipertestuale">
    <w:name w:val="Hyperlink"/>
    <w:basedOn w:val="Carpredefinitoparagrafo"/>
    <w:uiPriority w:val="99"/>
    <w:unhideWhenUsed/>
    <w:rsid w:val="00B6436B"/>
    <w:rPr>
      <w:color w:val="0563C1" w:themeColor="hyperlink"/>
      <w:u w:val="single"/>
    </w:rPr>
  </w:style>
  <w:style w:type="character" w:customStyle="1" w:styleId="Menzionenonrisolta1">
    <w:name w:val="Menzione non risolta1"/>
    <w:basedOn w:val="Carpredefinitoparagrafo"/>
    <w:uiPriority w:val="99"/>
    <w:semiHidden/>
    <w:unhideWhenUsed/>
    <w:rsid w:val="00FE239B"/>
    <w:rPr>
      <w:color w:val="605E5C"/>
      <w:shd w:val="clear" w:color="auto" w:fill="E1DFDD"/>
    </w:rPr>
  </w:style>
  <w:style w:type="character" w:styleId="Enfasicorsivo">
    <w:name w:val="Emphasis"/>
    <w:basedOn w:val="Carpredefinitoparagrafo"/>
    <w:uiPriority w:val="20"/>
    <w:qFormat/>
    <w:rsid w:val="00DF6970"/>
    <w:rPr>
      <w:i/>
      <w:iCs/>
    </w:rPr>
  </w:style>
  <w:style w:type="character" w:customStyle="1" w:styleId="Menzionenonrisolta2">
    <w:name w:val="Menzione non risolta2"/>
    <w:basedOn w:val="Carpredefinitoparagrafo"/>
    <w:uiPriority w:val="99"/>
    <w:semiHidden/>
    <w:unhideWhenUsed/>
    <w:rsid w:val="00CF5D2E"/>
    <w:rPr>
      <w:color w:val="605E5C"/>
      <w:shd w:val="clear" w:color="auto" w:fill="E1DFDD"/>
    </w:rPr>
  </w:style>
  <w:style w:type="character" w:customStyle="1" w:styleId="Menzionenonrisolta3">
    <w:name w:val="Menzione non risolta3"/>
    <w:basedOn w:val="Carpredefinitoparagrafo"/>
    <w:uiPriority w:val="99"/>
    <w:semiHidden/>
    <w:unhideWhenUsed/>
    <w:rsid w:val="00347C5D"/>
    <w:rPr>
      <w:color w:val="605E5C"/>
      <w:shd w:val="clear" w:color="auto" w:fill="E1DFDD"/>
    </w:rPr>
  </w:style>
  <w:style w:type="paragraph" w:styleId="Paragrafoelenco">
    <w:name w:val="List Paragraph"/>
    <w:basedOn w:val="Normale"/>
    <w:uiPriority w:val="34"/>
    <w:qFormat/>
    <w:rsid w:val="00B86768"/>
    <w:pPr>
      <w:spacing w:line="256" w:lineRule="auto"/>
      <w:ind w:left="720"/>
      <w:contextualSpacing/>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hp\Documents\Modelli%20di%20Office%20personalizzati\Carta%20intestata%202021.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B9877-C643-4580-8345-1C0EF90F1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2021.dotm</Template>
  <TotalTime>226</TotalTime>
  <Pages>2</Pages>
  <Words>634</Words>
  <Characters>3617</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utente-hp</dc:creator>
  <cp:lastModifiedBy>Confintesa Funzione Pubblica</cp:lastModifiedBy>
  <cp:revision>14</cp:revision>
  <cp:lastPrinted>2026-01-13T12:25:00Z</cp:lastPrinted>
  <dcterms:created xsi:type="dcterms:W3CDTF">2026-01-09T11:08:00Z</dcterms:created>
  <dcterms:modified xsi:type="dcterms:W3CDTF">2026-01-22T12:08:00Z</dcterms:modified>
</cp:coreProperties>
</file>